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b/>
          <w:sz w:val="28"/>
          <w:szCs w:val="28"/>
        </w:rPr>
      </w:pPr>
      <w:r>
        <w:rPr>
          <w:rFonts w:hint="eastAsia"/>
          <w:b/>
          <w:sz w:val="28"/>
          <w:szCs w:val="28"/>
        </w:rPr>
        <w:t>附件12</w:t>
      </w:r>
    </w:p>
    <w:p>
      <w:pPr>
        <w:spacing w:line="360" w:lineRule="auto"/>
        <w:jc w:val="center"/>
        <w:rPr>
          <w:b/>
          <w:sz w:val="36"/>
          <w:szCs w:val="36"/>
        </w:rPr>
      </w:pPr>
      <w:r>
        <w:rPr>
          <w:rFonts w:hint="eastAsia"/>
          <w:b/>
          <w:sz w:val="36"/>
          <w:szCs w:val="36"/>
        </w:rPr>
        <w:t>复印报刊资料数据库</w:t>
      </w:r>
    </w:p>
    <w:p>
      <w:pPr>
        <w:spacing w:line="360" w:lineRule="auto"/>
        <w:jc w:val="left"/>
        <w:rPr>
          <w:b/>
          <w:szCs w:val="21"/>
        </w:rPr>
      </w:pPr>
      <w:r>
        <w:rPr>
          <w:rFonts w:hint="eastAsia"/>
          <w:b/>
          <w:szCs w:val="21"/>
        </w:rPr>
        <w:t>一、产品参数</w:t>
      </w:r>
    </w:p>
    <w:p>
      <w:pPr>
        <w:spacing w:line="360" w:lineRule="auto"/>
        <w:ind w:firstLine="420" w:firstLineChars="200"/>
        <w:rPr>
          <w:rFonts w:asciiTheme="minorEastAsia" w:hAnsiTheme="minorEastAsia"/>
          <w:color w:val="000000"/>
          <w:szCs w:val="21"/>
        </w:rPr>
      </w:pPr>
      <w:r>
        <w:rPr>
          <w:rFonts w:hint="eastAsia" w:asciiTheme="minorEastAsia" w:hAnsiTheme="minorEastAsia"/>
          <w:color w:val="000000"/>
          <w:szCs w:val="21"/>
        </w:rPr>
        <w:t>数据库提供</w:t>
      </w:r>
      <w:r>
        <w:rPr>
          <w:rFonts w:asciiTheme="minorEastAsia" w:hAnsiTheme="minorEastAsia"/>
          <w:color w:val="000000"/>
          <w:szCs w:val="21"/>
        </w:rPr>
        <w:t>的所有资源均</w:t>
      </w:r>
      <w:r>
        <w:rPr>
          <w:rFonts w:hint="eastAsia" w:asciiTheme="minorEastAsia" w:hAnsiTheme="minorEastAsia"/>
          <w:color w:val="000000"/>
          <w:szCs w:val="21"/>
        </w:rPr>
        <w:t>须经过国家</w:t>
      </w:r>
      <w:r>
        <w:rPr>
          <w:rFonts w:asciiTheme="minorEastAsia" w:hAnsiTheme="minorEastAsia"/>
          <w:color w:val="000000"/>
          <w:szCs w:val="21"/>
        </w:rPr>
        <w:t>相关部门审批，符合社会主义核心价值观，内容</w:t>
      </w:r>
      <w:r>
        <w:rPr>
          <w:rFonts w:hint="eastAsia" w:asciiTheme="minorEastAsia" w:hAnsiTheme="minorEastAsia"/>
          <w:color w:val="000000"/>
          <w:szCs w:val="21"/>
        </w:rPr>
        <w:t>安全可靠。</w:t>
      </w:r>
    </w:p>
    <w:p>
      <w:pPr>
        <w:spacing w:line="360" w:lineRule="auto"/>
        <w:ind w:firstLine="420" w:firstLineChars="200"/>
        <w:rPr>
          <w:rFonts w:asciiTheme="minorEastAsia" w:hAnsiTheme="minorEastAsia"/>
          <w:color w:val="000000"/>
          <w:szCs w:val="21"/>
        </w:rPr>
      </w:pPr>
      <w:r>
        <w:rPr>
          <w:rFonts w:hint="eastAsia" w:asciiTheme="minorEastAsia" w:hAnsiTheme="minorEastAsia"/>
          <w:color w:val="000000"/>
          <w:szCs w:val="21"/>
        </w:rPr>
        <w:t>1、全文数据库具有较高的学术价值、应用价值，含有新观点、新材料、新方法或具有一定重要的代表性，能反映学术研究或实际工作部门的现状、成就及新发展。</w:t>
      </w:r>
      <w:r>
        <w:rPr>
          <w:rFonts w:asciiTheme="minorEastAsia" w:hAnsiTheme="minorEastAsia"/>
          <w:color w:val="000000"/>
          <w:szCs w:val="21"/>
        </w:rPr>
        <w:t>汇集了自改革开放以来国内报刊公开发表近4000余种人文社科学术研究成果的精萃，由专业编辑和业界专家</w:t>
      </w:r>
      <w:r>
        <w:rPr>
          <w:rFonts w:asciiTheme="minorEastAsia" w:hAnsiTheme="minorEastAsia"/>
          <w:szCs w:val="21"/>
        </w:rPr>
        <w:t>进行精选，分类编</w:t>
      </w:r>
      <w:r>
        <w:rPr>
          <w:rFonts w:asciiTheme="minorEastAsia" w:hAnsiTheme="minorEastAsia"/>
          <w:color w:val="000000"/>
          <w:szCs w:val="21"/>
        </w:rPr>
        <w:t>辑，汇编成库</w:t>
      </w:r>
      <w:r>
        <w:rPr>
          <w:rFonts w:asciiTheme="minorEastAsia" w:hAnsiTheme="minorEastAsia"/>
          <w:szCs w:val="21"/>
        </w:rPr>
        <w:t>，形成“精中选精”的最终成果</w:t>
      </w:r>
      <w:r>
        <w:rPr>
          <w:rFonts w:asciiTheme="minorEastAsia" w:hAnsiTheme="minorEastAsia"/>
          <w:color w:val="000000"/>
          <w:szCs w:val="21"/>
        </w:rPr>
        <w:t>，并不断更新。</w:t>
      </w:r>
      <w:r>
        <w:rPr>
          <w:rFonts w:asciiTheme="minorEastAsia" w:hAnsiTheme="minorEastAsia"/>
          <w:szCs w:val="21"/>
        </w:rPr>
        <w:t>转载量（率）被学界和期刊界普遍视为人文社</w:t>
      </w:r>
      <w:r>
        <w:rPr>
          <w:rFonts w:hint="eastAsia" w:asciiTheme="minorEastAsia" w:hAnsiTheme="minorEastAsia"/>
          <w:color w:val="000000"/>
          <w:szCs w:val="21"/>
        </w:rPr>
        <w:t>科期刊领域中一个客观公正的评价标准。内容囊括人文社会科学领域中的各个学科，包含政治学与社会学类、哲学类、法律类、经济学与经济管理类、教育类、历史学类、文化信息传播类以及其他类等9大类，每个类别分别涵盖了相关专题的期刊文章。</w:t>
      </w:r>
    </w:p>
    <w:p>
      <w:pPr>
        <w:spacing w:line="360" w:lineRule="auto"/>
        <w:ind w:firstLine="420" w:firstLineChars="200"/>
        <w:rPr>
          <w:rFonts w:asciiTheme="minorEastAsia" w:hAnsiTheme="minorEastAsia"/>
          <w:color w:val="000000"/>
          <w:szCs w:val="21"/>
        </w:rPr>
      </w:pPr>
      <w:r>
        <w:rPr>
          <w:rFonts w:hint="eastAsia" w:asciiTheme="minorEastAsia" w:hAnsiTheme="minorEastAsia"/>
          <w:color w:val="000000"/>
          <w:szCs w:val="21"/>
        </w:rPr>
        <w:t>2、中国妇女问题研究数据库。涉及哲学、政治、经济、教育等其它主干学科，收录几十年来中国学术界以妇女为研究对象的研究成果的精华部分，展现了中国的妇女理论研究发展道路；呈现出妇女史研究领域内新的发展；剖析各阶层、民族、年龄、职业等不同领域的妇女所面临的问题，同时记录1995年以来与妇女运动有关的重要的大事。尤其是最近10多年来的研究成果，理论与实证并举，是了解中国妇女研究状况不可多得的宝贵资源，也是研究者进一步研究相关问题的很好的指南</w:t>
      </w:r>
      <w:r>
        <w:rPr>
          <w:rFonts w:asciiTheme="minorEastAsia" w:hAnsiTheme="minorEastAsia"/>
          <w:color w:val="000000"/>
          <w:szCs w:val="21"/>
        </w:rPr>
        <w:t>。</w:t>
      </w:r>
    </w:p>
    <w:p>
      <w:pPr>
        <w:spacing w:line="360" w:lineRule="auto"/>
        <w:jc w:val="left"/>
        <w:rPr>
          <w:rFonts w:asciiTheme="minorEastAsia" w:hAnsiTheme="minorEastAsia"/>
          <w:color w:val="000000"/>
          <w:szCs w:val="21"/>
        </w:rPr>
      </w:pPr>
      <w:r>
        <w:rPr>
          <w:rFonts w:asciiTheme="minorEastAsia" w:hAnsiTheme="minorEastAsia"/>
          <w:color w:val="000000"/>
          <w:szCs w:val="21"/>
        </w:rPr>
        <w:t xml:space="preserve">  </w:t>
      </w:r>
      <w:r>
        <w:rPr>
          <w:rFonts w:hint="eastAsia" w:asciiTheme="minorEastAsia" w:hAnsiTheme="minorEastAsia"/>
          <w:color w:val="000000"/>
          <w:szCs w:val="21"/>
        </w:rPr>
        <w:t xml:space="preserve"> 3、</w:t>
      </w:r>
      <w:r>
        <w:rPr>
          <w:rFonts w:asciiTheme="minorEastAsia" w:hAnsiTheme="minorEastAsia"/>
          <w:color w:val="000000"/>
          <w:szCs w:val="21"/>
        </w:rPr>
        <w:t>数据库有两种呈现方式，即学术论文型和数字期刊型。学术论文型呈现方式基于学科类别展现篇目内容；数字期刊型呈现方式是以整刊形式展现，具有直观、便捷的特点。</w:t>
      </w:r>
    </w:p>
    <w:p>
      <w:pPr>
        <w:spacing w:line="360" w:lineRule="auto"/>
        <w:jc w:val="left"/>
        <w:rPr>
          <w:szCs w:val="21"/>
        </w:rPr>
      </w:pPr>
      <w:r>
        <w:rPr>
          <w:rFonts w:hint="eastAsia" w:asciiTheme="minorEastAsia" w:hAnsiTheme="minorEastAsia"/>
          <w:color w:val="000000"/>
          <w:szCs w:val="21"/>
        </w:rPr>
        <w:t xml:space="preserve">   4、</w:t>
      </w:r>
      <w:r>
        <w:rPr>
          <w:rFonts w:asciiTheme="minorEastAsia" w:hAnsiTheme="minorEastAsia"/>
          <w:color w:val="000000"/>
          <w:szCs w:val="21"/>
        </w:rPr>
        <w:t>数据库收录期刊年限为1995年至今。涵盖中心出版的148种刊物，来源刊物4000种左右</w:t>
      </w:r>
      <w:r>
        <w:rPr>
          <w:rFonts w:asciiTheme="minorEastAsia" w:hAnsiTheme="minorEastAsia"/>
          <w:spacing w:val="15"/>
          <w:szCs w:val="21"/>
        </w:rPr>
        <w:t>。</w:t>
      </w:r>
    </w:p>
    <w:p>
      <w:pPr>
        <w:spacing w:line="360" w:lineRule="auto"/>
        <w:jc w:val="left"/>
        <w:rPr>
          <w:b/>
          <w:szCs w:val="21"/>
        </w:rPr>
      </w:pPr>
      <w:r>
        <w:rPr>
          <w:rFonts w:hint="eastAsia"/>
          <w:b/>
          <w:szCs w:val="21"/>
        </w:rPr>
        <w:t>二、技术参数</w:t>
      </w:r>
    </w:p>
    <w:p>
      <w:pPr>
        <w:adjustRightInd w:val="0"/>
        <w:snapToGrid w:val="0"/>
        <w:spacing w:line="360" w:lineRule="auto"/>
        <w:ind w:firstLine="420" w:firstLineChars="200"/>
        <w:rPr>
          <w:rFonts w:ascii="宋体" w:hAnsi="宋体" w:eastAsia="宋体" w:cs="Times New Roman"/>
          <w:color w:val="000000"/>
          <w:szCs w:val="21"/>
        </w:rPr>
      </w:pPr>
      <w:r>
        <w:rPr>
          <w:rFonts w:hint="eastAsia" w:ascii="宋体" w:hAnsi="宋体" w:eastAsia="宋体" w:cs="Times New Roman"/>
          <w:color w:val="000000"/>
          <w:szCs w:val="21"/>
        </w:rPr>
        <w:t>支持中文、英文、中英文混合、德文、法文等多语种的管理与智能检索。支持按词索引、按字索引、字词混合索引。支持相关性词表扩展检索功能，系统内置同义与近义词表，词表可维护，方便用户修改。</w:t>
      </w:r>
      <w:r>
        <w:rPr>
          <w:rFonts w:hint="eastAsia" w:asciiTheme="minorEastAsia" w:hAnsiTheme="minorEastAsia"/>
          <w:color w:val="000000"/>
          <w:szCs w:val="21"/>
        </w:rPr>
        <w:t>系统记录用户每次查询登录曰期、时间、登录IP地址、检索用时、检索次数、调阅文献篇数、脱机状态等日志信息，日志结果自动保存入库，并提供查询、浏览、下载、打印等功能，有效地防止用户越权操作与防抵赖。</w:t>
      </w:r>
    </w:p>
    <w:p>
      <w:pPr>
        <w:spacing w:line="360" w:lineRule="auto"/>
        <w:jc w:val="left"/>
        <w:rPr>
          <w:b/>
          <w:szCs w:val="21"/>
        </w:rPr>
      </w:pPr>
      <w:r>
        <w:rPr>
          <w:rFonts w:hint="eastAsia"/>
          <w:b/>
          <w:szCs w:val="21"/>
        </w:rPr>
        <w:t>三、服务参数</w:t>
      </w:r>
    </w:p>
    <w:p>
      <w:pPr>
        <w:adjustRightInd w:val="0"/>
        <w:snapToGrid w:val="0"/>
        <w:spacing w:line="360" w:lineRule="auto"/>
        <w:ind w:firstLine="420" w:firstLineChars="200"/>
        <w:rPr>
          <w:rFonts w:hint="eastAsia" w:asciiTheme="minorEastAsia" w:hAnsiTheme="minorEastAsia"/>
          <w:color w:val="000000"/>
          <w:szCs w:val="21"/>
        </w:rPr>
      </w:pPr>
      <w:r>
        <w:rPr>
          <w:rFonts w:hint="eastAsia" w:asciiTheme="minorEastAsia" w:hAnsiTheme="minorEastAsia"/>
          <w:color w:val="000000"/>
          <w:szCs w:val="21"/>
        </w:rPr>
        <w:t>1、</w:t>
      </w:r>
      <w:r>
        <w:rPr>
          <w:rFonts w:hint="eastAsia" w:asciiTheme="minorEastAsia" w:hAnsiTheme="minorEastAsia"/>
          <w:szCs w:val="21"/>
          <w:lang w:eastAsia="zh-CN"/>
        </w:rPr>
        <w:t>服务期限：</w:t>
      </w:r>
      <w:r>
        <w:rPr>
          <w:rFonts w:asciiTheme="minorEastAsia" w:hAnsiTheme="minorEastAsia"/>
          <w:szCs w:val="21"/>
        </w:rPr>
        <w:t xml:space="preserve"> </w:t>
      </w:r>
      <w:r>
        <w:rPr>
          <w:rFonts w:hint="eastAsia" w:asciiTheme="minorEastAsia" w:hAnsiTheme="minorEastAsia"/>
          <w:szCs w:val="21"/>
        </w:rPr>
        <w:t>202</w:t>
      </w:r>
      <w:r>
        <w:rPr>
          <w:rFonts w:hint="eastAsia" w:asciiTheme="minorEastAsia" w:hAnsiTheme="minorEastAsia"/>
          <w:szCs w:val="21"/>
          <w:lang w:val="en-US" w:eastAsia="zh-CN"/>
        </w:rPr>
        <w:t>2年度全年的</w:t>
      </w:r>
      <w:bookmarkStart w:id="0" w:name="_GoBack"/>
      <w:bookmarkEnd w:id="0"/>
      <w:r>
        <w:rPr>
          <w:rFonts w:hint="eastAsia" w:asciiTheme="minorEastAsia" w:hAnsiTheme="minorEastAsia"/>
          <w:szCs w:val="21"/>
          <w:lang w:val="en-US" w:eastAsia="zh-CN"/>
        </w:rPr>
        <w:t>数据及服务</w:t>
      </w:r>
      <w:r>
        <w:rPr>
          <w:rFonts w:hint="eastAsia" w:asciiTheme="minorEastAsia" w:hAnsiTheme="minorEastAsia"/>
          <w:color w:val="000000"/>
          <w:szCs w:val="21"/>
        </w:rPr>
        <w:t xml:space="preserve"> </w:t>
      </w:r>
    </w:p>
    <w:p>
      <w:pPr>
        <w:adjustRightInd w:val="0"/>
        <w:snapToGrid w:val="0"/>
        <w:spacing w:line="360" w:lineRule="auto"/>
        <w:ind w:firstLine="420" w:firstLineChars="200"/>
        <w:rPr>
          <w:rFonts w:asciiTheme="minorEastAsia" w:hAnsiTheme="minorEastAsia"/>
          <w:color w:val="000000"/>
          <w:szCs w:val="21"/>
        </w:rPr>
      </w:pPr>
      <w:r>
        <w:rPr>
          <w:rFonts w:hint="eastAsia" w:asciiTheme="minorEastAsia" w:hAnsiTheme="minorEastAsia"/>
          <w:color w:val="000000"/>
          <w:szCs w:val="21"/>
          <w:lang w:val="en-US" w:eastAsia="zh-CN"/>
        </w:rPr>
        <w:t>2、</w:t>
      </w:r>
      <w:r>
        <w:rPr>
          <w:rFonts w:hint="eastAsia" w:asciiTheme="minorEastAsia" w:hAnsiTheme="minorEastAsia"/>
          <w:color w:val="000000"/>
          <w:szCs w:val="21"/>
        </w:rPr>
        <w:t>承诺在双方签订合同后，完全按照合同规定的内容和时间开通和安装本次所购数据；</w:t>
      </w:r>
    </w:p>
    <w:p>
      <w:pPr>
        <w:adjustRightInd w:val="0"/>
        <w:snapToGrid w:val="0"/>
        <w:spacing w:line="360" w:lineRule="auto"/>
        <w:ind w:firstLine="420" w:firstLineChars="200"/>
        <w:rPr>
          <w:rFonts w:asciiTheme="minorEastAsia" w:hAnsiTheme="minorEastAsia"/>
          <w:color w:val="000000"/>
          <w:szCs w:val="21"/>
        </w:rPr>
      </w:pPr>
      <w:r>
        <w:rPr>
          <w:rFonts w:hint="eastAsia" w:asciiTheme="minorEastAsia" w:hAnsiTheme="minorEastAsia"/>
          <w:color w:val="000000"/>
          <w:szCs w:val="21"/>
          <w:lang w:val="en-US" w:eastAsia="zh-CN"/>
        </w:rPr>
        <w:t>3</w:t>
      </w:r>
      <w:r>
        <w:rPr>
          <w:rFonts w:hint="eastAsia" w:asciiTheme="minorEastAsia" w:hAnsiTheme="minorEastAsia"/>
          <w:color w:val="000000"/>
          <w:szCs w:val="21"/>
        </w:rPr>
        <w:t>、出色的数字版权保护技术，确保资源使用没有安全隐患；</w:t>
      </w:r>
    </w:p>
    <w:p>
      <w:pPr>
        <w:adjustRightInd w:val="0"/>
        <w:snapToGrid w:val="0"/>
        <w:spacing w:line="360" w:lineRule="auto"/>
        <w:ind w:firstLine="420" w:firstLineChars="200"/>
        <w:rPr>
          <w:rFonts w:asciiTheme="minorEastAsia" w:hAnsiTheme="minorEastAsia"/>
          <w:color w:val="000000"/>
          <w:szCs w:val="21"/>
        </w:rPr>
      </w:pPr>
      <w:r>
        <w:rPr>
          <w:rFonts w:hint="eastAsia" w:asciiTheme="minorEastAsia" w:hAnsiTheme="minorEastAsia"/>
          <w:color w:val="000000"/>
          <w:szCs w:val="21"/>
          <w:lang w:val="en-US" w:eastAsia="zh-CN"/>
        </w:rPr>
        <w:t>4</w:t>
      </w:r>
      <w:r>
        <w:rPr>
          <w:rFonts w:hint="eastAsia" w:asciiTheme="minorEastAsia" w:hAnsiTheme="minorEastAsia"/>
          <w:color w:val="000000"/>
          <w:szCs w:val="21"/>
        </w:rPr>
        <w:t>、为了及时便捷地解决用户在使用数据库的产品或服务所遇到的各种问题，用户可以根据实际需求，通过电话、邮件、线上咨询等方式来获取相应的服务。8个工作小时内响应，若远程支持无法解决问题的，将提供2个工作日内上门服务。</w:t>
      </w:r>
    </w:p>
    <w:p>
      <w:pPr>
        <w:adjustRightInd w:val="0"/>
        <w:snapToGrid w:val="0"/>
        <w:spacing w:line="360" w:lineRule="auto"/>
        <w:ind w:firstLine="420" w:firstLineChars="200"/>
        <w:rPr>
          <w:rFonts w:asciiTheme="minorEastAsia" w:hAnsiTheme="minorEastAsia"/>
          <w:color w:val="000000"/>
          <w:szCs w:val="21"/>
        </w:rPr>
      </w:pPr>
      <w:r>
        <w:rPr>
          <w:rFonts w:hint="eastAsia" w:asciiTheme="minorEastAsia" w:hAnsiTheme="minorEastAsia"/>
          <w:color w:val="000000"/>
          <w:szCs w:val="21"/>
          <w:lang w:val="en-US" w:eastAsia="zh-CN"/>
        </w:rPr>
        <w:t>5</w:t>
      </w:r>
      <w:r>
        <w:rPr>
          <w:rFonts w:hint="eastAsia" w:asciiTheme="minorEastAsia" w:hAnsiTheme="minorEastAsia"/>
          <w:color w:val="000000"/>
          <w:szCs w:val="21"/>
        </w:rPr>
        <w:t>、承诺每年至少提供两次技术、使用培训或其他相关活动，并能提供部分活动物料。</w:t>
      </w:r>
    </w:p>
    <w:p>
      <w:pPr>
        <w:adjustRightInd w:val="0"/>
        <w:snapToGrid w:val="0"/>
        <w:spacing w:line="360" w:lineRule="auto"/>
        <w:ind w:firstLine="420" w:firstLineChars="200"/>
        <w:rPr>
          <w:rFonts w:asciiTheme="minorEastAsia" w:hAnsiTheme="minorEastAsia"/>
          <w:color w:val="000000"/>
          <w:szCs w:val="21"/>
        </w:rPr>
      </w:pPr>
      <w:r>
        <w:rPr>
          <w:rFonts w:hint="eastAsia" w:asciiTheme="minorEastAsia" w:hAnsiTheme="minorEastAsia"/>
          <w:color w:val="000000"/>
          <w:szCs w:val="21"/>
          <w:lang w:val="en-US" w:eastAsia="zh-CN"/>
        </w:rPr>
        <w:t>6</w:t>
      </w:r>
      <w:r>
        <w:rPr>
          <w:rFonts w:hint="eastAsia" w:asciiTheme="minorEastAsia" w:hAnsiTheme="minorEastAsia"/>
          <w:color w:val="000000"/>
          <w:szCs w:val="21"/>
        </w:rPr>
        <w:t>、根据要求提供远程校外访问账号，以确保产品的不间断使用。</w:t>
      </w:r>
    </w:p>
    <w:p>
      <w:pPr>
        <w:adjustRightInd w:val="0"/>
        <w:snapToGrid w:val="0"/>
        <w:spacing w:line="360" w:lineRule="auto"/>
        <w:ind w:firstLine="420" w:firstLineChars="200"/>
        <w:rPr>
          <w:rFonts w:asciiTheme="minorEastAsia" w:hAnsiTheme="minorEastAsia"/>
          <w:color w:val="000000"/>
          <w:szCs w:val="21"/>
        </w:rPr>
      </w:pPr>
      <w:r>
        <w:rPr>
          <w:rFonts w:hint="eastAsia" w:asciiTheme="minorEastAsia" w:hAnsiTheme="minorEastAsia"/>
          <w:color w:val="000000"/>
          <w:szCs w:val="21"/>
          <w:lang w:val="en-US" w:eastAsia="zh-CN"/>
        </w:rPr>
        <w:t>7</w:t>
      </w:r>
      <w:r>
        <w:rPr>
          <w:rFonts w:hint="eastAsia" w:asciiTheme="minorEastAsia" w:hAnsiTheme="minorEastAsia"/>
          <w:color w:val="000000"/>
          <w:szCs w:val="21"/>
        </w:rPr>
        <w:t>、及时为馆内提供技术更新服务，定期向馆内通报公司新技术动态，并无偿免费快捷地为用户提供技术更新服务。提供网络数据周更新，本地镜像数据按月更新服务。</w:t>
      </w:r>
    </w:p>
    <w:p>
      <w:pPr>
        <w:spacing w:line="360" w:lineRule="auto"/>
        <w:jc w:val="left"/>
        <w:rPr>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iNzdhOWFlODFjZWE3NGY1NGY4NWZhMmVkY2M5MDkifQ=="/>
  </w:docVars>
  <w:rsids>
    <w:rsidRoot w:val="00312261"/>
    <w:rsid w:val="00312261"/>
    <w:rsid w:val="00324BA1"/>
    <w:rsid w:val="00495DC4"/>
    <w:rsid w:val="005254E2"/>
    <w:rsid w:val="006A012B"/>
    <w:rsid w:val="0078260A"/>
    <w:rsid w:val="008676B4"/>
    <w:rsid w:val="008C6BE9"/>
    <w:rsid w:val="009756CB"/>
    <w:rsid w:val="00AA55B2"/>
    <w:rsid w:val="00CD570A"/>
    <w:rsid w:val="00F96AB9"/>
    <w:rsid w:val="00FA1D9F"/>
    <w:rsid w:val="00FD13E3"/>
    <w:rsid w:val="22DD7F5C"/>
    <w:rsid w:val="3EC7663F"/>
    <w:rsid w:val="6605264C"/>
    <w:rsid w:val="76C51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1200</Words>
  <Characters>1220</Characters>
  <Lines>8</Lines>
  <Paragraphs>2</Paragraphs>
  <TotalTime>0</TotalTime>
  <ScaleCrop>false</ScaleCrop>
  <LinksUpToDate>false</LinksUpToDate>
  <CharactersWithSpaces>1228</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2022-07-05T02:20:00Z</dcterms:created>
  <dc:creator>casicc</dc:creator>
  <cp:lastModifiedBy>Administrator</cp:lastModifiedBy>
  <dcterms:modified xsi:type="dcterms:W3CDTF">2022-09-02T06:17:17Z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56E8167181034A339CD3E03B542FAD4A</vt:lpwstr>
  </property>
</Properties>
</file>